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17D859F9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17D859F9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96"/>
        <w:gridCol w:w="1345"/>
        <w:gridCol w:w="1851"/>
        <w:gridCol w:w="661"/>
        <w:gridCol w:w="1828"/>
        <w:gridCol w:w="959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6C73AA0" w14:textId="125831EC" w:rsidR="000D7F91" w:rsidRDefault="00FA5B28" w:rsidP="00FA5B28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 </w:t>
            </w:r>
            <w:r w:rsidR="00E7306A">
              <w:rPr>
                <w:rFonts w:cs="Arial"/>
                <w:szCs w:val="20"/>
              </w:rPr>
              <w:t>Liisa-Ly Pakosta</w:t>
            </w:r>
          </w:p>
          <w:p w14:paraId="69D15A64" w14:textId="77777777" w:rsidR="00E7306A" w:rsidRDefault="00FA5B28" w:rsidP="00FA5B28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="00E7306A">
              <w:rPr>
                <w:rFonts w:cs="Arial"/>
                <w:szCs w:val="20"/>
              </w:rPr>
              <w:t>ustiits</w:t>
            </w:r>
            <w:r>
              <w:rPr>
                <w:rFonts w:cs="Arial"/>
                <w:szCs w:val="20"/>
              </w:rPr>
              <w:t>- ja digi</w:t>
            </w:r>
            <w:r w:rsidR="00E7306A">
              <w:rPr>
                <w:rFonts w:cs="Arial"/>
                <w:szCs w:val="20"/>
              </w:rPr>
              <w:t>minister</w:t>
            </w:r>
          </w:p>
          <w:p w14:paraId="44B11717" w14:textId="3CD1EE11" w:rsidR="005B3C3C" w:rsidRDefault="005B3C3C" w:rsidP="00FA5B28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hyperlink r:id="rId9" w:history="1">
              <w:r w:rsidRPr="009075E6">
                <w:rPr>
                  <w:rStyle w:val="Hperlink"/>
                  <w:rFonts w:cs="Arial"/>
                  <w:szCs w:val="20"/>
                </w:rPr>
                <w:t>info@just.ee</w:t>
              </w:r>
            </w:hyperlink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356" w:type="dxa"/>
          </w:tcPr>
          <w:p w14:paraId="58CFA5D8" w14:textId="77777777" w:rsidR="000D7F91" w:rsidRDefault="000D7F91" w:rsidP="00FA5B28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FA5B28">
            <w:pPr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FA5B2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FA5B2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FA5B28">
            <w:pPr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FA5B28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Default="000D7F91" w:rsidP="00FA5B28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64B1871F" w:rsidR="000D7F91" w:rsidRDefault="00FA5B28" w:rsidP="00FA5B2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21.10.</w:t>
            </w:r>
          </w:p>
        </w:tc>
        <w:tc>
          <w:tcPr>
            <w:tcW w:w="554" w:type="dxa"/>
            <w:shd w:val="clear" w:color="auto" w:fill="auto"/>
          </w:tcPr>
          <w:p w14:paraId="69A35BDD" w14:textId="6208CCB6" w:rsidR="000D7F91" w:rsidRDefault="000D7F91" w:rsidP="00FA5B2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  <w:r w:rsidR="00E7306A">
              <w:rPr>
                <w:rFonts w:cs="Arial"/>
                <w:szCs w:val="20"/>
              </w:rPr>
              <w:t>24</w:t>
            </w:r>
          </w:p>
        </w:tc>
        <w:tc>
          <w:tcPr>
            <w:tcW w:w="1851" w:type="dxa"/>
            <w:shd w:val="clear" w:color="auto" w:fill="auto"/>
          </w:tcPr>
          <w:p w14:paraId="2A0A5C2C" w14:textId="042F06D4" w:rsidR="000D7F91" w:rsidRDefault="000D7F91" w:rsidP="00FA5B2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FA5B28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Default="00A279CA" w:rsidP="00FA5B28">
      <w:pPr>
        <w:rPr>
          <w:rFonts w:cs="Arial"/>
          <w:i/>
          <w:color w:val="202020"/>
          <w:szCs w:val="20"/>
          <w:lang w:eastAsia="et-EE"/>
        </w:rPr>
      </w:pPr>
    </w:p>
    <w:p w14:paraId="04277901" w14:textId="77777777" w:rsidR="00E7306A" w:rsidRDefault="00E7306A" w:rsidP="00FA5B28">
      <w:pPr>
        <w:rPr>
          <w:rFonts w:ascii="Calibri" w:hAnsi="Calibri"/>
          <w:lang w:val="en-US"/>
        </w:rPr>
      </w:pPr>
    </w:p>
    <w:p w14:paraId="034757F7" w14:textId="77777777" w:rsidR="00E7306A" w:rsidRDefault="00E7306A" w:rsidP="00FA5B28">
      <w:pPr>
        <w:rPr>
          <w:rFonts w:ascii="Calibri" w:hAnsi="Calibri"/>
          <w:lang w:val="en-US"/>
        </w:rPr>
      </w:pPr>
    </w:p>
    <w:p w14:paraId="04FF87C2" w14:textId="77777777" w:rsidR="00E7306A" w:rsidRDefault="00E7306A" w:rsidP="00FA5B28">
      <w:pPr>
        <w:rPr>
          <w:rFonts w:ascii="Calibri" w:hAnsi="Calibri"/>
          <w:lang w:val="en-US"/>
        </w:rPr>
      </w:pPr>
    </w:p>
    <w:p w14:paraId="28C70190" w14:textId="22CB3565" w:rsidR="00FA5B28" w:rsidRPr="003F12C9" w:rsidRDefault="003F12C9" w:rsidP="00FA5B28">
      <w:pPr>
        <w:rPr>
          <w:rFonts w:cs="Arial"/>
          <w:b/>
          <w:bCs/>
          <w:lang w:val="en-US"/>
        </w:rPr>
      </w:pPr>
      <w:r w:rsidRPr="003F12C9">
        <w:rPr>
          <w:rFonts w:cs="Arial"/>
          <w:b/>
          <w:bCs/>
          <w:lang w:val="en-US"/>
        </w:rPr>
        <w:t>Taotlus</w:t>
      </w:r>
    </w:p>
    <w:p w14:paraId="3FE91234" w14:textId="77777777" w:rsidR="003F12C9" w:rsidRDefault="003F12C9" w:rsidP="00FA5B28">
      <w:pPr>
        <w:rPr>
          <w:rFonts w:ascii="Calibri" w:hAnsi="Calibri"/>
          <w:lang w:val="en-US"/>
        </w:rPr>
      </w:pPr>
    </w:p>
    <w:p w14:paraId="2CDEA424" w14:textId="77777777" w:rsidR="006C67C7" w:rsidRDefault="006C67C7" w:rsidP="00FA5B28">
      <w:pPr>
        <w:autoSpaceDE w:val="0"/>
        <w:autoSpaceDN w:val="0"/>
        <w:adjustRightInd w:val="0"/>
        <w:rPr>
          <w:rFonts w:cs="Arial"/>
          <w:szCs w:val="20"/>
        </w:rPr>
      </w:pPr>
    </w:p>
    <w:p w14:paraId="250462B8" w14:textId="141FADDD" w:rsidR="00811E61" w:rsidRDefault="00811E61" w:rsidP="00FA5B28">
      <w:pPr>
        <w:autoSpaceDE w:val="0"/>
        <w:autoSpaceDN w:val="0"/>
        <w:adjustRightInd w:val="0"/>
        <w:rPr>
          <w:rFonts w:cs="Arial"/>
          <w:szCs w:val="20"/>
        </w:rPr>
      </w:pPr>
      <w:r w:rsidRPr="00E7306A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E7306A" w:rsidRPr="00E7306A">
        <w:rPr>
          <w:rFonts w:cs="Arial"/>
          <w:szCs w:val="20"/>
        </w:rPr>
        <w:t>Lugupeetud justiits</w:t>
      </w:r>
      <w:r w:rsidR="00FA5B28">
        <w:rPr>
          <w:rFonts w:cs="Arial"/>
          <w:szCs w:val="20"/>
        </w:rPr>
        <w:t>- ja digi</w:t>
      </w:r>
      <w:r w:rsidR="00E7306A" w:rsidRPr="00E7306A">
        <w:rPr>
          <w:rFonts w:cs="Arial"/>
          <w:szCs w:val="20"/>
        </w:rPr>
        <w:t>minister</w:t>
      </w:r>
    </w:p>
    <w:p w14:paraId="07831608" w14:textId="77777777" w:rsidR="003F12C9" w:rsidRDefault="003F12C9" w:rsidP="00FA5B28">
      <w:pPr>
        <w:autoSpaceDE w:val="0"/>
        <w:autoSpaceDN w:val="0"/>
        <w:adjustRightInd w:val="0"/>
        <w:rPr>
          <w:rFonts w:cs="Arial"/>
          <w:szCs w:val="20"/>
        </w:rPr>
      </w:pPr>
    </w:p>
    <w:p w14:paraId="1019C79B" w14:textId="49DC07D7" w:rsidR="00E7306A" w:rsidRDefault="00CF7108" w:rsidP="00FA5B28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27.08.2024 edastati Harju Maakohtule ja Viru Maakohtule Teie käskkiri nr 53, milles tunnistasite kehtetuks </w:t>
      </w:r>
      <w:r w:rsidRPr="008A51BA">
        <w:rPr>
          <w:rFonts w:cs="Arial"/>
          <w:szCs w:val="20"/>
        </w:rPr>
        <w:t>justiitsministri 30.05.2024 käskkirja nr 42 „Kohtunikukoha konkursiteade“.</w:t>
      </w:r>
      <w:r>
        <w:rPr>
          <w:rFonts w:cs="Arial"/>
          <w:szCs w:val="20"/>
        </w:rPr>
        <w:t xml:space="preserve"> Käskkirja põhjenduseks oli </w:t>
      </w:r>
      <w:r w:rsidR="008A51BA" w:rsidRPr="008A51BA">
        <w:rPr>
          <w:rFonts w:cs="Arial"/>
          <w:szCs w:val="20"/>
        </w:rPr>
        <w:t>23.07.2024 ametisse astunud Vabariigi Valitsuse eesmär</w:t>
      </w:r>
      <w:r>
        <w:rPr>
          <w:rFonts w:cs="Arial"/>
          <w:szCs w:val="20"/>
        </w:rPr>
        <w:t>k</w:t>
      </w:r>
      <w:r w:rsidR="008A51BA" w:rsidRPr="008A51BA">
        <w:rPr>
          <w:rFonts w:cs="Arial"/>
          <w:szCs w:val="20"/>
        </w:rPr>
        <w:t xml:space="preserve"> kärpida haldusalas tööjõu- ja majandamiskulusid ning tegevus- ja sihtotstarbelisi toetusi 3 aasta jooksul 10%, 2025. aastal 5%, 2026. aastal 3% ja 2027. aastal 2%</w:t>
      </w:r>
      <w:r>
        <w:rPr>
          <w:rFonts w:cs="Arial"/>
          <w:szCs w:val="20"/>
        </w:rPr>
        <w:t>.</w:t>
      </w:r>
    </w:p>
    <w:p w14:paraId="0BCF6DAF" w14:textId="77777777" w:rsidR="00FA5B28" w:rsidRDefault="00FA5B28" w:rsidP="00FA5B28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9CEB430" w14:textId="4E751B49" w:rsidR="00CF7108" w:rsidRDefault="00CF7108" w:rsidP="00FA5B28">
      <w:pPr>
        <w:autoSpaceDE w:val="0"/>
        <w:autoSpaceDN w:val="0"/>
        <w:adjustRightInd w:val="0"/>
        <w:jc w:val="both"/>
      </w:pPr>
      <w:r>
        <w:rPr>
          <w:rFonts w:cs="Arial"/>
          <w:szCs w:val="20"/>
        </w:rPr>
        <w:t>04.10.2024 jõudis kohtuteni informatsioon, et tehtava k</w:t>
      </w:r>
      <w:r w:rsidR="008A51BA">
        <w:t>ärpe arvestusse ei saa sisse arvestada kohtunike tööjõukulusid (arvestuslikud kulud)</w:t>
      </w:r>
      <w:r>
        <w:t xml:space="preserve">. </w:t>
      </w:r>
    </w:p>
    <w:p w14:paraId="18B273F2" w14:textId="362DD40C" w:rsidR="003F12C9" w:rsidRDefault="00FA5B28" w:rsidP="00FA5B28">
      <w:pPr>
        <w:autoSpaceDE w:val="0"/>
        <w:autoSpaceDN w:val="0"/>
        <w:adjustRightInd w:val="0"/>
        <w:jc w:val="both"/>
      </w:pPr>
      <w:r>
        <w:t>Kuivõrd</w:t>
      </w:r>
      <w:r w:rsidR="00CF7108">
        <w:t xml:space="preserve"> kohtunike tööjõukulud ei lähe </w:t>
      </w:r>
      <w:r w:rsidR="003F12C9">
        <w:t xml:space="preserve">käskkirjas viidatud </w:t>
      </w:r>
      <w:r w:rsidR="00CF7108">
        <w:t>kärpe arvestusse</w:t>
      </w:r>
      <w:r w:rsidR="003F12C9">
        <w:t xml:space="preserve">, on </w:t>
      </w:r>
      <w:r>
        <w:t>eelnimetatud konkursi tühistamise alused ära langenud ning</w:t>
      </w:r>
      <w:r w:rsidR="00CF7108">
        <w:t xml:space="preserve"> kohtunike konkursiga</w:t>
      </w:r>
      <w:r>
        <w:t xml:space="preserve"> tuleks jätkata</w:t>
      </w:r>
      <w:r w:rsidR="00CF7108">
        <w:t xml:space="preserve">. Harju Maakohtus </w:t>
      </w:r>
      <w:r>
        <w:t>on</w:t>
      </w:r>
      <w:r w:rsidR="00CF7108">
        <w:t xml:space="preserve"> </w:t>
      </w:r>
      <w:r>
        <w:t>2025.a</w:t>
      </w:r>
      <w:r w:rsidR="00456158">
        <w:t>asta</w:t>
      </w:r>
      <w:r>
        <w:t xml:space="preserve"> jaanuari seisuga täitmata </w:t>
      </w:r>
      <w:r w:rsidR="003F12C9">
        <w:t xml:space="preserve">vähemalt </w:t>
      </w:r>
      <w:r>
        <w:t xml:space="preserve">neli </w:t>
      </w:r>
      <w:r w:rsidR="00CF7108">
        <w:t>kohtuniku kohta</w:t>
      </w:r>
      <w:r>
        <w:t xml:space="preserve">. </w:t>
      </w:r>
      <w:r w:rsidR="00CF7108">
        <w:t xml:space="preserve">Viru Maakohtus on </w:t>
      </w:r>
      <w:r>
        <w:t xml:space="preserve">hetkel </w:t>
      </w:r>
      <w:r w:rsidR="00CF7108">
        <w:t xml:space="preserve">täitmata </w:t>
      </w:r>
      <w:r w:rsidR="00CB3EF8">
        <w:t>üks</w:t>
      </w:r>
      <w:r w:rsidR="00CF7108">
        <w:t xml:space="preserve"> kohtuniku koht</w:t>
      </w:r>
      <w:r>
        <w:t xml:space="preserve"> ning </w:t>
      </w:r>
      <w:r w:rsidR="00CF7108">
        <w:t xml:space="preserve">2025 vabaneb veel </w:t>
      </w:r>
      <w:r>
        <w:t xml:space="preserve">neli kohtuniku </w:t>
      </w:r>
      <w:r w:rsidR="00CF7108">
        <w:t xml:space="preserve">kohta. Sellise hulga täitamata kohtadega on </w:t>
      </w:r>
      <w:r>
        <w:t>takistatud</w:t>
      </w:r>
      <w:r w:rsidR="00CF7108">
        <w:t xml:space="preserve"> korrakohane õigusemõistmine.</w:t>
      </w:r>
    </w:p>
    <w:p w14:paraId="484D1183" w14:textId="1116C4EA" w:rsidR="00CF7108" w:rsidRDefault="00FA5B28" w:rsidP="00FA5B28">
      <w:pPr>
        <w:autoSpaceDE w:val="0"/>
        <w:autoSpaceDN w:val="0"/>
        <w:adjustRightInd w:val="0"/>
        <w:jc w:val="both"/>
      </w:pPr>
      <w:r>
        <w:t>K</w:t>
      </w:r>
      <w:r>
        <w:t xml:space="preserve">una </w:t>
      </w:r>
      <w:r>
        <w:t xml:space="preserve">kohtute </w:t>
      </w:r>
      <w:r>
        <w:t xml:space="preserve">eelarves on </w:t>
      </w:r>
      <w:r>
        <w:t xml:space="preserve">vastavate </w:t>
      </w:r>
      <w:r>
        <w:t>tööjõukulu</w:t>
      </w:r>
      <w:r w:rsidR="00F54156">
        <w:t>de</w:t>
      </w:r>
      <w:r>
        <w:t>ga arvestatud</w:t>
      </w:r>
      <w:r>
        <w:t xml:space="preserve">, ei esine ühtki </w:t>
      </w:r>
      <w:r w:rsidR="00F54156">
        <w:t>arvestatavat põhjendust kohtunike kohtade täitmata jätmiseks</w:t>
      </w:r>
      <w:r w:rsidR="00295973">
        <w:t xml:space="preserve"> ning konkursi tühistamiseks.</w:t>
      </w:r>
      <w:r w:rsidR="00F54156">
        <w:t xml:space="preserve"> </w:t>
      </w:r>
      <w:r w:rsidR="00CF7108">
        <w:t xml:space="preserve"> </w:t>
      </w:r>
    </w:p>
    <w:p w14:paraId="5D3755B0" w14:textId="77777777" w:rsidR="00F54156" w:rsidRDefault="00F54156" w:rsidP="00FA5B28">
      <w:pPr>
        <w:autoSpaceDE w:val="0"/>
        <w:autoSpaceDN w:val="0"/>
        <w:adjustRightInd w:val="0"/>
        <w:jc w:val="both"/>
      </w:pPr>
    </w:p>
    <w:p w14:paraId="3428468D" w14:textId="70A79397" w:rsidR="00CF7108" w:rsidRDefault="00FA5B28" w:rsidP="00FA5B28">
      <w:pPr>
        <w:autoSpaceDE w:val="0"/>
        <w:autoSpaceDN w:val="0"/>
        <w:adjustRightInd w:val="0"/>
        <w:jc w:val="both"/>
      </w:pPr>
      <w:r>
        <w:t>Eelnevast lähtuvalt p</w:t>
      </w:r>
      <w:r w:rsidR="00CF7108">
        <w:t xml:space="preserve">alume esimesel võimalusel 27.08.2024 käskkiri nr 53 </w:t>
      </w:r>
      <w:r w:rsidR="00CB3EF8">
        <w:t>kehtetuks tunnistada</w:t>
      </w:r>
      <w:r w:rsidR="00CF7108">
        <w:t>.</w:t>
      </w:r>
    </w:p>
    <w:p w14:paraId="10FE1F6B" w14:textId="77777777" w:rsidR="00FA5B28" w:rsidRDefault="00FA5B28" w:rsidP="00FA5B28">
      <w:pPr>
        <w:autoSpaceDE w:val="0"/>
        <w:autoSpaceDN w:val="0"/>
        <w:adjustRightInd w:val="0"/>
        <w:jc w:val="both"/>
      </w:pPr>
    </w:p>
    <w:p w14:paraId="1AA87070" w14:textId="2382EB59" w:rsidR="00FA5B28" w:rsidRDefault="00FA5B28" w:rsidP="00FA5B28">
      <w:pPr>
        <w:autoSpaceDE w:val="0"/>
        <w:autoSpaceDN w:val="0"/>
        <w:adjustRightInd w:val="0"/>
        <w:jc w:val="both"/>
      </w:pPr>
      <w:r>
        <w:t>Lugupidamisega</w:t>
      </w:r>
    </w:p>
    <w:p w14:paraId="2F1860AF" w14:textId="77777777" w:rsidR="00FA5B28" w:rsidRDefault="00FA5B28" w:rsidP="00FA5B28">
      <w:pPr>
        <w:autoSpaceDE w:val="0"/>
        <w:autoSpaceDN w:val="0"/>
        <w:adjustRightInd w:val="0"/>
        <w:jc w:val="both"/>
      </w:pPr>
    </w:p>
    <w:p w14:paraId="5B389CCE" w14:textId="77777777" w:rsidR="00FA5B28" w:rsidRDefault="00FA5B28" w:rsidP="00FA5B28">
      <w:pPr>
        <w:autoSpaceDE w:val="0"/>
        <w:autoSpaceDN w:val="0"/>
        <w:adjustRightInd w:val="0"/>
        <w:jc w:val="both"/>
      </w:pPr>
    </w:p>
    <w:p w14:paraId="5156E2EA" w14:textId="77777777" w:rsidR="00FA5B28" w:rsidRDefault="00FA5B28" w:rsidP="00FA5B28">
      <w:pPr>
        <w:autoSpaceDE w:val="0"/>
        <w:autoSpaceDN w:val="0"/>
        <w:adjustRightInd w:val="0"/>
        <w:jc w:val="both"/>
      </w:pPr>
    </w:p>
    <w:p w14:paraId="3696ECD5" w14:textId="08FB5E56" w:rsidR="00FA5B28" w:rsidRDefault="00FA5B28" w:rsidP="00FA5B28">
      <w:pPr>
        <w:autoSpaceDE w:val="0"/>
        <w:autoSpaceDN w:val="0"/>
        <w:adjustRightInd w:val="0"/>
        <w:jc w:val="both"/>
      </w:pPr>
      <w:r>
        <w:t>(allkirjastatud digitaalselt)</w:t>
      </w:r>
    </w:p>
    <w:p w14:paraId="457E57F4" w14:textId="4B80B62F" w:rsidR="00FA5B28" w:rsidRDefault="00FA5B28" w:rsidP="00FA5B28">
      <w:pPr>
        <w:autoSpaceDE w:val="0"/>
        <w:autoSpaceDN w:val="0"/>
        <w:adjustRightInd w:val="0"/>
        <w:jc w:val="both"/>
      </w:pPr>
      <w:r>
        <w:t>Astrid Asi</w:t>
      </w:r>
    </w:p>
    <w:p w14:paraId="7C8DB9B6" w14:textId="5C980F61" w:rsidR="00FA5B28" w:rsidRDefault="00FA5B28" w:rsidP="00FA5B28">
      <w:pPr>
        <w:autoSpaceDE w:val="0"/>
        <w:autoSpaceDN w:val="0"/>
        <w:adjustRightInd w:val="0"/>
        <w:jc w:val="both"/>
      </w:pPr>
      <w:r>
        <w:t>Kohtu esimees</w:t>
      </w:r>
    </w:p>
    <w:p w14:paraId="2FD1C4E8" w14:textId="5BC1B354" w:rsidR="00FA5B28" w:rsidRDefault="00FA5B28" w:rsidP="00FA5B28">
      <w:pPr>
        <w:autoSpaceDE w:val="0"/>
        <w:autoSpaceDN w:val="0"/>
        <w:adjustRightInd w:val="0"/>
        <w:jc w:val="both"/>
      </w:pPr>
      <w:r>
        <w:t>Harju Maakohus</w:t>
      </w:r>
    </w:p>
    <w:p w14:paraId="527CB802" w14:textId="77777777" w:rsidR="00FA5B28" w:rsidRDefault="00FA5B28" w:rsidP="00FA5B28">
      <w:pPr>
        <w:autoSpaceDE w:val="0"/>
        <w:autoSpaceDN w:val="0"/>
        <w:adjustRightInd w:val="0"/>
        <w:jc w:val="both"/>
      </w:pPr>
    </w:p>
    <w:p w14:paraId="7DAB037E" w14:textId="77777777" w:rsidR="00FA5B28" w:rsidRDefault="00FA5B28" w:rsidP="00FA5B28">
      <w:pPr>
        <w:autoSpaceDE w:val="0"/>
        <w:autoSpaceDN w:val="0"/>
        <w:adjustRightInd w:val="0"/>
        <w:jc w:val="both"/>
      </w:pPr>
    </w:p>
    <w:p w14:paraId="517BB9C2" w14:textId="77777777" w:rsidR="00FA5B28" w:rsidRDefault="00FA5B28" w:rsidP="00FA5B28">
      <w:pPr>
        <w:autoSpaceDE w:val="0"/>
        <w:autoSpaceDN w:val="0"/>
        <w:adjustRightInd w:val="0"/>
        <w:jc w:val="both"/>
      </w:pPr>
      <w:r>
        <w:t>(allkirjastatud digitaalselt)</w:t>
      </w:r>
    </w:p>
    <w:p w14:paraId="01889B68" w14:textId="2E1D77F3" w:rsidR="00FA5B28" w:rsidRDefault="00FA5B28" w:rsidP="00FA5B28">
      <w:pPr>
        <w:autoSpaceDE w:val="0"/>
        <w:autoSpaceDN w:val="0"/>
        <w:adjustRightInd w:val="0"/>
        <w:jc w:val="both"/>
      </w:pPr>
      <w:r>
        <w:t>Liina Naaber-Kivisoo</w:t>
      </w:r>
    </w:p>
    <w:p w14:paraId="084F1321" w14:textId="19423098" w:rsidR="00FA5B28" w:rsidRDefault="00FA5B28" w:rsidP="00FA5B28">
      <w:pPr>
        <w:autoSpaceDE w:val="0"/>
        <w:autoSpaceDN w:val="0"/>
        <w:adjustRightInd w:val="0"/>
        <w:jc w:val="both"/>
      </w:pPr>
      <w:r>
        <w:t>Kohtu esimees</w:t>
      </w:r>
    </w:p>
    <w:p w14:paraId="3F1E0E5C" w14:textId="62B7960E" w:rsidR="00FA5B28" w:rsidRPr="00CF7108" w:rsidRDefault="00FA5B28" w:rsidP="00FA5B28">
      <w:pPr>
        <w:autoSpaceDE w:val="0"/>
        <w:autoSpaceDN w:val="0"/>
        <w:adjustRightInd w:val="0"/>
        <w:jc w:val="both"/>
      </w:pPr>
      <w:r>
        <w:t>Vi</w:t>
      </w:r>
      <w:r w:rsidR="003F12C9">
        <w:t>r</w:t>
      </w:r>
      <w:r>
        <w:t xml:space="preserve">u Maakohus </w:t>
      </w:r>
    </w:p>
    <w:p w14:paraId="555C08AA" w14:textId="7D65D020" w:rsidR="008A51BA" w:rsidRPr="00E7306A" w:rsidRDefault="008A51BA" w:rsidP="00E7306A">
      <w:pPr>
        <w:autoSpaceDE w:val="0"/>
        <w:autoSpaceDN w:val="0"/>
        <w:adjustRightInd w:val="0"/>
        <w:spacing w:after="120"/>
        <w:rPr>
          <w:rFonts w:cs="Arial"/>
          <w:szCs w:val="20"/>
        </w:rPr>
      </w:pPr>
    </w:p>
    <w:sectPr w:rsidR="008A51BA" w:rsidRPr="00E7306A" w:rsidSect="00811E61">
      <w:headerReference w:type="first" r:id="rId10"/>
      <w:footerReference w:type="first" r:id="rId11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B180" w14:textId="77777777" w:rsidR="008008F0" w:rsidRDefault="008008F0" w:rsidP="00DA1915">
      <w:r>
        <w:separator/>
      </w:r>
    </w:p>
  </w:endnote>
  <w:endnote w:type="continuationSeparator" w:id="0">
    <w:p w14:paraId="5535A385" w14:textId="77777777" w:rsidR="008008F0" w:rsidRDefault="008008F0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2696262" w14:textId="11397C4A" w:rsidR="00F8430B" w:rsidRPr="00EC53E3" w:rsidRDefault="00F03E97" w:rsidP="00F03E97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  <w:t>Esimese ja teise astme kohtute infotelefon 620 0100</w:t>
                          </w:r>
                          <w: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  <w:br/>
                            <w:t xml:space="preserve"> www.kohus.ee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52696262" w14:textId="11397C4A" w:rsidR="00F8430B" w:rsidRPr="00EC53E3" w:rsidRDefault="00F03E97" w:rsidP="00F03E97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  <w:r>
                      <w:rPr>
                        <w:color w:val="FFFFFF" w:themeColor="background1"/>
                        <w:sz w:val="19"/>
                        <w:szCs w:val="19"/>
                      </w:rPr>
                      <w:t>Esimese ja teise astme kohtute infotelefon 620 0100</w:t>
                    </w:r>
                    <w:r>
                      <w:rPr>
                        <w:color w:val="FFFFFF" w:themeColor="background1"/>
                        <w:sz w:val="19"/>
                        <w:szCs w:val="19"/>
                      </w:rPr>
                      <w:br/>
                      <w:t xml:space="preserve"> www.kohus.ee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B786" w14:textId="77777777" w:rsidR="008008F0" w:rsidRDefault="008008F0" w:rsidP="00DA1915">
      <w:r>
        <w:separator/>
      </w:r>
    </w:p>
  </w:footnote>
  <w:footnote w:type="continuationSeparator" w:id="0">
    <w:p w14:paraId="666A8EE3" w14:textId="77777777" w:rsidR="008008F0" w:rsidRDefault="008008F0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6F3C8214" w:rsidR="00C94E3C" w:rsidRDefault="00822921">
    <w:pPr>
      <w:pStyle w:val="Pis"/>
    </w:pPr>
    <w:r>
      <w:rPr>
        <w:noProof/>
      </w:rPr>
      <w:drawing>
        <wp:anchor distT="0" distB="0" distL="114300" distR="114300" simplePos="0" relativeHeight="251676672" behindDoc="1" locked="0" layoutInCell="1" allowOverlap="1" wp14:anchorId="00E0AF32" wp14:editId="64173155">
          <wp:simplePos x="0" y="0"/>
          <wp:positionH relativeFrom="margin">
            <wp:align>center</wp:align>
          </wp:positionH>
          <wp:positionV relativeFrom="page">
            <wp:posOffset>-146050</wp:posOffset>
          </wp:positionV>
          <wp:extent cx="1485900" cy="1485900"/>
          <wp:effectExtent l="0" t="0" r="0" b="0"/>
          <wp:wrapTight wrapText="bothSides">
            <wp:wrapPolygon edited="0">
              <wp:start x="0" y="0"/>
              <wp:lineTo x="0" y="21323"/>
              <wp:lineTo x="21323" y="21323"/>
              <wp:lineTo x="21323" y="0"/>
              <wp:lineTo x="0" y="0"/>
            </wp:wrapPolygon>
          </wp:wrapTight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1" locked="0" layoutInCell="1" allowOverlap="1" wp14:anchorId="56118C56" wp14:editId="5B273E51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4373AADD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B0950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D7F91"/>
    <w:rsid w:val="001444F8"/>
    <w:rsid w:val="00155A80"/>
    <w:rsid w:val="00177939"/>
    <w:rsid w:val="001A0D48"/>
    <w:rsid w:val="001C4756"/>
    <w:rsid w:val="002719AB"/>
    <w:rsid w:val="00295973"/>
    <w:rsid w:val="003D41E3"/>
    <w:rsid w:val="003F0460"/>
    <w:rsid w:val="003F12C9"/>
    <w:rsid w:val="003F6F57"/>
    <w:rsid w:val="004365BC"/>
    <w:rsid w:val="00456158"/>
    <w:rsid w:val="004900A5"/>
    <w:rsid w:val="004A1192"/>
    <w:rsid w:val="0051481A"/>
    <w:rsid w:val="00521178"/>
    <w:rsid w:val="0055716E"/>
    <w:rsid w:val="005B3C3C"/>
    <w:rsid w:val="006444D2"/>
    <w:rsid w:val="0065779C"/>
    <w:rsid w:val="006A69E8"/>
    <w:rsid w:val="006C67C7"/>
    <w:rsid w:val="006D5809"/>
    <w:rsid w:val="006F02D2"/>
    <w:rsid w:val="00791DB2"/>
    <w:rsid w:val="008008F0"/>
    <w:rsid w:val="00811E61"/>
    <w:rsid w:val="00822921"/>
    <w:rsid w:val="00873A81"/>
    <w:rsid w:val="008A51BA"/>
    <w:rsid w:val="008F0FC9"/>
    <w:rsid w:val="0094633F"/>
    <w:rsid w:val="009B5A17"/>
    <w:rsid w:val="00A252B8"/>
    <w:rsid w:val="00A279CA"/>
    <w:rsid w:val="00A3029D"/>
    <w:rsid w:val="00A52543"/>
    <w:rsid w:val="00AB2218"/>
    <w:rsid w:val="00B310B5"/>
    <w:rsid w:val="00B57933"/>
    <w:rsid w:val="00B85165"/>
    <w:rsid w:val="00C8651B"/>
    <w:rsid w:val="00C94E3C"/>
    <w:rsid w:val="00CB3EF8"/>
    <w:rsid w:val="00CB7D32"/>
    <w:rsid w:val="00CC5B66"/>
    <w:rsid w:val="00CF5094"/>
    <w:rsid w:val="00CF7108"/>
    <w:rsid w:val="00DA1915"/>
    <w:rsid w:val="00DD415C"/>
    <w:rsid w:val="00DE4BBF"/>
    <w:rsid w:val="00E349D5"/>
    <w:rsid w:val="00E40D30"/>
    <w:rsid w:val="00E7252F"/>
    <w:rsid w:val="00E7306A"/>
    <w:rsid w:val="00E82BAF"/>
    <w:rsid w:val="00EB0DA6"/>
    <w:rsid w:val="00ED24E6"/>
    <w:rsid w:val="00EE667C"/>
    <w:rsid w:val="00F03E97"/>
    <w:rsid w:val="00F54156"/>
    <w:rsid w:val="00F55873"/>
    <w:rsid w:val="00F8430B"/>
    <w:rsid w:val="00FA5B28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5B3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just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41300C-A11D-4B57-BDD4-1648CFD2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Astrid Asi</cp:lastModifiedBy>
  <cp:revision>8</cp:revision>
  <dcterms:created xsi:type="dcterms:W3CDTF">2024-10-16T11:02:00Z</dcterms:created>
  <dcterms:modified xsi:type="dcterms:W3CDTF">2024-10-21T19:28:00Z</dcterms:modified>
</cp:coreProperties>
</file>